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6507321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0E1B00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22047A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22047A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00» 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A3527"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 w:rsidR="001A352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формы проверочного </w:t>
      </w: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листа (списка контрольных вопросов), </w:t>
      </w:r>
    </w:p>
    <w:p w:rsidR="000E1B00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применяемого при</w:t>
      </w: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</w:t>
      </w:r>
      <w:r w:rsidR="000E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B00" w:rsidRDefault="000E1B00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047A"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муниципального образования 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Нижнеангарск».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7A" w:rsidRPr="00E3049F" w:rsidRDefault="0022047A" w:rsidP="0022047A">
      <w:pPr>
        <w:rPr>
          <w:rFonts w:ascii="Times New Roman" w:hAnsi="Times New Roman"/>
          <w:sz w:val="28"/>
          <w:szCs w:val="28"/>
        </w:rPr>
      </w:pPr>
      <w:r w:rsidRPr="00E3049F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E3049F">
        <w:rPr>
          <w:rFonts w:ascii="Times New Roman" w:hAnsi="Times New Roman"/>
          <w:sz w:val="28"/>
          <w:szCs w:val="28"/>
        </w:rPr>
        <w:t>постановляю:</w:t>
      </w:r>
    </w:p>
    <w:p w:rsidR="0022047A" w:rsidRPr="00E3049F" w:rsidRDefault="0022047A" w:rsidP="0022047A">
      <w:pPr>
        <w:rPr>
          <w:rFonts w:ascii="Times New Roman" w:hAnsi="Times New Roman"/>
          <w:sz w:val="28"/>
          <w:szCs w:val="28"/>
        </w:rPr>
      </w:pPr>
      <w:r w:rsidRPr="00E3049F">
        <w:rPr>
          <w:rFonts w:ascii="Times New Roman" w:hAnsi="Times New Roman"/>
          <w:sz w:val="28"/>
          <w:szCs w:val="28"/>
        </w:rPr>
        <w:t>1. Утвердить форму проверочного листа (списка контрольных вопросов), применяемого</w:t>
      </w:r>
      <w:r w:rsidRPr="00E3049F">
        <w:rPr>
          <w:sz w:val="28"/>
          <w:szCs w:val="28"/>
        </w:rPr>
        <w:t xml:space="preserve"> </w:t>
      </w:r>
      <w:r w:rsidRPr="00E3049F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0E1B00">
        <w:rPr>
          <w:rFonts w:ascii="Times New Roman" w:hAnsi="Times New Roman"/>
          <w:sz w:val="28"/>
          <w:szCs w:val="28"/>
        </w:rPr>
        <w:t xml:space="preserve">жилищного </w:t>
      </w:r>
      <w:r w:rsidR="00FA55B4" w:rsidRPr="00E3049F">
        <w:rPr>
          <w:rFonts w:ascii="Times New Roman" w:hAnsi="Times New Roman"/>
          <w:sz w:val="28"/>
          <w:szCs w:val="28"/>
        </w:rPr>
        <w:t xml:space="preserve">контроля </w:t>
      </w:r>
      <w:r w:rsidRPr="00E3049F">
        <w:rPr>
          <w:rFonts w:ascii="Times New Roman" w:hAnsi="Times New Roman"/>
          <w:sz w:val="28"/>
          <w:szCs w:val="28"/>
        </w:rPr>
        <w:t xml:space="preserve">в </w:t>
      </w:r>
      <w:r w:rsidR="00FA55B4" w:rsidRPr="00E3049F">
        <w:rPr>
          <w:rFonts w:ascii="Times New Roman" w:hAnsi="Times New Roman"/>
          <w:sz w:val="28"/>
          <w:szCs w:val="28"/>
        </w:rPr>
        <w:t>границах муниципального</w:t>
      </w:r>
      <w:r w:rsidRPr="00E3049F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Нижнеангарск» </w:t>
      </w:r>
      <w:r w:rsidRPr="00E3049F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E3049F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E3049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3049F">
        <w:rPr>
          <w:rFonts w:ascii="Times New Roman" w:hAnsi="Times New Roman"/>
          <w:sz w:val="28"/>
          <w:szCs w:val="28"/>
        </w:rPr>
        <w:t>. Отделу по муниципальному контролю Администрац</w:t>
      </w:r>
      <w:r>
        <w:rPr>
          <w:rFonts w:ascii="Times New Roman" w:hAnsi="Times New Roman"/>
          <w:sz w:val="28"/>
          <w:szCs w:val="28"/>
        </w:rPr>
        <w:t>ии муниципального образования городского поселения «поселок Нижнеангарск» (Е.В. Елизарова</w:t>
      </w:r>
      <w:r w:rsidRPr="00E3049F">
        <w:rPr>
          <w:rFonts w:ascii="Times New Roman" w:hAnsi="Times New Roman"/>
          <w:sz w:val="28"/>
          <w:szCs w:val="28"/>
        </w:rPr>
        <w:t>) обеспечить размещение форм</w:t>
      </w:r>
      <w:r>
        <w:rPr>
          <w:rFonts w:ascii="Times New Roman" w:hAnsi="Times New Roman"/>
          <w:sz w:val="28"/>
          <w:szCs w:val="28"/>
        </w:rPr>
        <w:t>ы</w:t>
      </w:r>
      <w:r w:rsidRPr="00E3049F">
        <w:rPr>
          <w:rFonts w:ascii="Times New Roman" w:hAnsi="Times New Roman"/>
          <w:sz w:val="28"/>
          <w:szCs w:val="28"/>
        </w:rPr>
        <w:t xml:space="preserve"> проверочного листа (списка контрольных вопросов)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49F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Нижнеангарск» </w:t>
      </w:r>
      <w:r w:rsidRPr="00E3049F">
        <w:rPr>
          <w:rFonts w:ascii="Times New Roman" w:hAnsi="Times New Roman"/>
          <w:sz w:val="28"/>
          <w:szCs w:val="28"/>
        </w:rPr>
        <w:t xml:space="preserve">в сети «Интернет» в течении пяти дней со дня </w:t>
      </w:r>
      <w:r>
        <w:rPr>
          <w:rFonts w:ascii="Times New Roman" w:hAnsi="Times New Roman"/>
          <w:sz w:val="28"/>
          <w:szCs w:val="28"/>
        </w:rPr>
        <w:t>принятия настоящего постановления.</w:t>
      </w:r>
    </w:p>
    <w:p w:rsidR="00C0756B" w:rsidRPr="00E3049F" w:rsidRDefault="00C0756B" w:rsidP="00C075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3049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руководителя Администрации МО ГП «поселок Нижнеангарск»</w:t>
      </w:r>
      <w:r w:rsidRPr="00E30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/>
          <w:sz w:val="28"/>
          <w:szCs w:val="28"/>
        </w:rPr>
        <w:t>Каурцеву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756B" w:rsidRPr="00E3049F" w:rsidRDefault="00C0756B" w:rsidP="00C075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3049F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 и подлежит официальному опубликованию.</w:t>
      </w: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руководитель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Е.Д. </w:t>
      </w:r>
      <w:proofErr w:type="spellStart"/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Каурцева</w:t>
      </w:r>
      <w:proofErr w:type="spellEnd"/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E1B00" w:rsidRDefault="000E1B00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E1B00" w:rsidRDefault="000E1B00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E1B00" w:rsidRDefault="000E1B00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0756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Проект представлен отделом по муниципальному контролю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МО ГП «поселок Нижнеангарск»</w:t>
      </w:r>
    </w:p>
    <w:p w:rsidR="00C0756B" w:rsidRPr="00C0756B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Wingdings" w:eastAsia="Times New Roman" w:hAnsi="Wingdings" w:cs="Times New Roman"/>
          <w:sz w:val="20"/>
          <w:szCs w:val="24"/>
          <w:lang w:eastAsia="ru-RU"/>
        </w:rPr>
        <w:t></w:t>
      </w: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8(30130) 47-351</w:t>
      </w:r>
    </w:p>
    <w:p w:rsidR="00A751BC" w:rsidRDefault="00A751BC" w:rsidP="00C0756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E1B00" w:rsidRPr="00F24139" w:rsidRDefault="000E1B00" w:rsidP="000E1B0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УТВЕРЖДЕНО</w:t>
      </w:r>
    </w:p>
    <w:p w:rsidR="000E1B00" w:rsidRPr="00F24139" w:rsidRDefault="000E1B00" w:rsidP="000E1B0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постановлением Администрации </w:t>
      </w:r>
    </w:p>
    <w:p w:rsidR="000E1B00" w:rsidRPr="00F24139" w:rsidRDefault="000E1B00" w:rsidP="000E1B0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>МО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ГП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поселок Нижнеангарск</w:t>
      </w:r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</w:p>
    <w:p w:rsidR="000E1B00" w:rsidRPr="00F24139" w:rsidRDefault="000E1B00" w:rsidP="000E1B0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>от  _</w:t>
      </w:r>
      <w:proofErr w:type="gramEnd"/>
      <w:r w:rsidRPr="00F24139">
        <w:rPr>
          <w:rFonts w:ascii="Times New Roman" w:eastAsia="Calibri" w:hAnsi="Times New Roman" w:cs="Times New Roman"/>
          <w:sz w:val="24"/>
          <w:szCs w:val="24"/>
          <w:lang w:eastAsia="ar-SA"/>
        </w:rPr>
        <w:t>_________2022г. № _______</w:t>
      </w:r>
    </w:p>
    <w:p w:rsidR="000E1B00" w:rsidRPr="00F24139" w:rsidRDefault="000E1B00" w:rsidP="000E1B0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E1B00" w:rsidRPr="00F24139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QR-код, предусмотренный</w:t>
      </w: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постановлением Правительства</w:t>
      </w: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Российской Федерации</w:t>
      </w: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от 16.04.2021 № 604 «Об утверждении</w:t>
      </w: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Правил формирования и ведения</w:t>
      </w: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единого реестра контрольных</w:t>
      </w: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(надзорных) мероприятий и о внесении</w:t>
      </w: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изменения в постановление</w:t>
      </w: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Правительства Российской Федерации от</w:t>
      </w:r>
    </w:p>
    <w:p w:rsidR="000E1B00" w:rsidRPr="00F24139" w:rsidRDefault="000E1B00" w:rsidP="000E1B0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F24139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28 апреля 2015 г. № 415».</w:t>
      </w:r>
    </w:p>
    <w:p w:rsidR="000E1B00" w:rsidRDefault="000E1B00" w:rsidP="000E1B0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E1B00" w:rsidRDefault="000E1B00" w:rsidP="000E1B00">
      <w:pPr>
        <w:pStyle w:val="1"/>
        <w:rPr>
          <w:sz w:val="28"/>
          <w:szCs w:val="28"/>
        </w:rPr>
      </w:pPr>
      <w:bookmarkStart w:id="0" w:name="sub_13"/>
      <w:r w:rsidRPr="000E1B00">
        <w:rPr>
          <w:sz w:val="28"/>
          <w:szCs w:val="28"/>
        </w:rPr>
        <w:t>Форма</w:t>
      </w:r>
      <w:r w:rsidRPr="000E1B00">
        <w:rPr>
          <w:sz w:val="28"/>
          <w:szCs w:val="28"/>
        </w:rPr>
        <w:br/>
        <w:t xml:space="preserve">проверочного листа (списка контрольных вопросов), применяемого при осуществлении муниципального жилищного контроля в </w:t>
      </w:r>
      <w:r>
        <w:rPr>
          <w:sz w:val="28"/>
          <w:szCs w:val="28"/>
        </w:rPr>
        <w:t>границах муниципального образования городского поселения «поселок Нижнеангарск»</w:t>
      </w:r>
    </w:p>
    <w:p w:rsidR="000E1B00" w:rsidRDefault="000E1B00" w:rsidP="000E1B00">
      <w:pPr>
        <w:rPr>
          <w:lang w:eastAsia="ru-RU"/>
        </w:rPr>
      </w:pP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органа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 контроля:  _______</w:t>
      </w: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Проверочный лист утвержден постановлением администрации муниципального образования городского поселения «поселок Нижнеангарск» от __________ №_____________.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Распоряжение о проведении контрольного мероприятия от __________ № _____________.</w:t>
      </w: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Вид контрольного мероприятия _________________________________</w:t>
      </w: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gramStart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 номер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контрольного мероприятия и дата присвоения учетного номера проверки в едином реестре проверок </w:t>
      </w:r>
      <w:r w:rsidRPr="000F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информационных ресурсах ЕРВК, ЕРКНМ)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_________________________.</w:t>
      </w: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Место проведения контрольного мероприятия с заполнением Проверочного листа _________________________________________________.</w:t>
      </w: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</w:t>
      </w:r>
      <w:r w:rsidRPr="000F5A03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Объект контроля, в отношении которого проводится контрольное </w:t>
      </w:r>
      <w:proofErr w:type="gramStart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мероприятие:_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_____________________________________________________.</w:t>
      </w: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Должность, 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имя, отчество 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еднее - при наличии)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 проводящего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0E1B00" w:rsidRPr="000F5A03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_______________________________________________________________.</w:t>
      </w:r>
    </w:p>
    <w:p w:rsidR="000E1B00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 Перечень вопросов, отражающих содержание обязательных требований, ответы на которые однозначно свидетельствуют о соблюдении или несоблюдении </w:t>
      </w:r>
      <w:r w:rsidRPr="000F5A03">
        <w:rPr>
          <w:rFonts w:ascii="Times New Roman" w:eastAsiaTheme="minorEastAsia" w:hAnsi="Times New Roman"/>
          <w:sz w:val="28"/>
          <w:szCs w:val="28"/>
        </w:rPr>
        <w:t>юридическим лицом, индивидуальным предпринимателем обязательных требований, составляющих предмет проверки:</w:t>
      </w:r>
    </w:p>
    <w:p w:rsidR="000E1B00" w:rsidRDefault="000E1B00" w:rsidP="000E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17"/>
        <w:gridCol w:w="1417"/>
      </w:tblGrid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B00" w:rsidRDefault="000E1B00" w:rsidP="000433BB">
            <w:pPr>
              <w:pStyle w:val="aa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B00" w:rsidRDefault="000E1B00" w:rsidP="000433BB">
            <w:pPr>
              <w:pStyle w:val="aa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B00" w:rsidRDefault="000E1B00" w:rsidP="000433BB">
            <w:pPr>
              <w:pStyle w:val="aa"/>
              <w:jc w:val="center"/>
            </w:pPr>
            <w:r>
              <w:t>Ответы на вопросы</w:t>
            </w: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00" w:rsidRDefault="000E1B00" w:rsidP="000433BB">
            <w:pPr>
              <w:pStyle w:val="aa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00" w:rsidRDefault="000E1B00" w:rsidP="000433BB">
            <w:pPr>
              <w:pStyle w:val="aa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00" w:rsidRDefault="000E1B00" w:rsidP="000433BB">
            <w:pPr>
              <w:pStyle w:val="aa"/>
              <w:jc w:val="center"/>
            </w:pPr>
            <w:r>
              <w:t>нет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00" w:rsidRDefault="000E1B00" w:rsidP="000433BB">
            <w:pPr>
              <w:pStyle w:val="aa"/>
              <w:jc w:val="center"/>
            </w:pPr>
            <w: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B00" w:rsidRDefault="000E1B00" w:rsidP="000433BB">
            <w:pPr>
              <w:pStyle w:val="aa"/>
              <w:jc w:val="center"/>
            </w:pPr>
            <w:r>
              <w:t>примечание</w:t>
            </w: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 xml:space="preserve">- </w:t>
            </w:r>
            <w:hyperlink r:id="rId7" w:history="1">
              <w:r>
                <w:rPr>
                  <w:rStyle w:val="a9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8" w:history="1">
              <w:r>
                <w:rPr>
                  <w:rStyle w:val="a9"/>
                </w:rPr>
                <w:t>пункт 3.4.1-3.4.4</w:t>
              </w:r>
            </w:hyperlink>
            <w:r>
              <w:t xml:space="preserve">; </w:t>
            </w:r>
            <w:hyperlink r:id="rId9" w:history="1">
              <w:r>
                <w:rPr>
                  <w:rStyle w:val="a9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10" w:history="1">
              <w:r>
                <w:rPr>
                  <w:rStyle w:val="a9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11" w:history="1">
              <w:r>
                <w:rPr>
                  <w:rStyle w:val="a9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12" w:history="1">
              <w:r>
                <w:rPr>
                  <w:rStyle w:val="a9"/>
                </w:rPr>
                <w:t>пункт 4.6.1.1-4.6.4.10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13" w:history="1">
              <w:r>
                <w:rPr>
                  <w:rStyle w:val="a9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 xml:space="preserve">Соблюдаются ли обязательные требования по </w:t>
            </w:r>
            <w:r>
              <w:lastRenderedPageBreak/>
              <w:t>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14" w:history="1">
              <w:r>
                <w:rPr>
                  <w:rStyle w:val="a9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15" w:history="1">
              <w:r>
                <w:rPr>
                  <w:rStyle w:val="a9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16" w:history="1">
              <w:r>
                <w:rPr>
                  <w:rStyle w:val="a9"/>
                </w:rPr>
                <w:t>пункт 5.8.1-5.8.4</w:t>
              </w:r>
            </w:hyperlink>
            <w:r>
              <w:t xml:space="preserve">; </w:t>
            </w:r>
            <w:hyperlink r:id="rId17" w:history="1">
              <w:r>
                <w:rPr>
                  <w:rStyle w:val="a9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18" w:history="1">
              <w:r>
                <w:rPr>
                  <w:rStyle w:val="a9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19" w:history="1">
              <w:r>
                <w:rPr>
                  <w:rStyle w:val="a9"/>
                </w:rPr>
                <w:t>пункт 3.6.10-3.6.13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  <w:tr w:rsidR="000E1B00" w:rsidTr="000E1B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c"/>
            </w:pPr>
            <w:hyperlink r:id="rId20" w:history="1">
              <w:r>
                <w:rPr>
                  <w:rStyle w:val="a9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0" w:rsidRDefault="000E1B00" w:rsidP="000433BB">
            <w:pPr>
              <w:pStyle w:val="aa"/>
            </w:pPr>
          </w:p>
        </w:tc>
      </w:tr>
    </w:tbl>
    <w:p w:rsidR="000E1B00" w:rsidRDefault="000E1B00" w:rsidP="000E1B0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E1B00" w:rsidRPr="00F24139" w:rsidRDefault="000E1B00" w:rsidP="000E1B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24139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F24139">
        <w:rPr>
          <w:rFonts w:ascii="Times New Roman" w:eastAsia="Calibri" w:hAnsi="Times New Roman" w:cs="Times New Roman"/>
          <w:sz w:val="20"/>
          <w:szCs w:val="24"/>
        </w:rPr>
        <w:t>(пояснения и дополнения по контрольным вопросам, содержащимся в перечне)</w:t>
      </w:r>
    </w:p>
    <w:p w:rsidR="000E1B00" w:rsidRPr="00F24139" w:rsidRDefault="000E1B00" w:rsidP="000E1B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139">
        <w:rPr>
          <w:rFonts w:ascii="Times New Roman" w:eastAsia="Calibri" w:hAnsi="Times New Roman" w:cs="Times New Roman"/>
          <w:sz w:val="24"/>
          <w:szCs w:val="24"/>
        </w:rPr>
        <w:t>______________________________________   _____________                   «___»__________20__г.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>(</w:t>
      </w: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должность  и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ФИО должностного лица,                                (подпись)                                                 (дата)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проводившего контрольное </w:t>
      </w: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мероприятие  и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>заполнившего проверочный лист)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139">
        <w:rPr>
          <w:rFonts w:ascii="Times New Roman" w:eastAsia="Calibri" w:hAnsi="Times New Roman" w:cs="Times New Roman"/>
          <w:sz w:val="24"/>
          <w:szCs w:val="24"/>
        </w:rPr>
        <w:t>______________________________________   _____________                   «___»__________20__г.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>(</w:t>
      </w: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должность  и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ФИО должностного лица                                 (подпись)                                                 (дата)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юридического </w:t>
      </w: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лица,  ФИО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 индивидуального 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предпринимателя,  присутствовавшего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при проведении контрольного мероприятия 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F24139">
        <w:rPr>
          <w:rFonts w:ascii="Times New Roman" w:eastAsia="Calibri" w:hAnsi="Times New Roman" w:cs="Times New Roman"/>
          <w:sz w:val="20"/>
          <w:szCs w:val="24"/>
        </w:rPr>
        <w:t>и  заполнении</w:t>
      </w:r>
      <w:proofErr w:type="gramEnd"/>
      <w:r w:rsidRPr="00F24139">
        <w:rPr>
          <w:rFonts w:ascii="Times New Roman" w:eastAsia="Calibri" w:hAnsi="Times New Roman" w:cs="Times New Roman"/>
          <w:sz w:val="20"/>
          <w:szCs w:val="24"/>
        </w:rPr>
        <w:t xml:space="preserve"> настоящего  проверочного  </w:t>
      </w:r>
    </w:p>
    <w:p w:rsidR="000E1B00" w:rsidRPr="00F24139" w:rsidRDefault="000E1B00" w:rsidP="000E1B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24139">
        <w:rPr>
          <w:rFonts w:ascii="Times New Roman" w:eastAsia="Calibri" w:hAnsi="Times New Roman" w:cs="Times New Roman"/>
          <w:sz w:val="20"/>
          <w:szCs w:val="24"/>
        </w:rPr>
        <w:t>листа)</w:t>
      </w:r>
    </w:p>
    <w:p w:rsidR="000E1B00" w:rsidRPr="000E1B00" w:rsidRDefault="000E1B00" w:rsidP="000E1B00">
      <w:pPr>
        <w:pStyle w:val="a3"/>
        <w:rPr>
          <w:rFonts w:ascii="Times New Roman" w:hAnsi="Times New Roman" w:cs="Times New Roman"/>
          <w:b/>
          <w:sz w:val="40"/>
          <w:szCs w:val="36"/>
        </w:rPr>
      </w:pPr>
      <w:bookmarkStart w:id="1" w:name="_GoBack"/>
      <w:bookmarkEnd w:id="0"/>
      <w:bookmarkEnd w:id="1"/>
    </w:p>
    <w:sectPr w:rsidR="000E1B00" w:rsidRPr="000E1B00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96EEB"/>
    <w:rsid w:val="000E1B00"/>
    <w:rsid w:val="001A3527"/>
    <w:rsid w:val="001E16C7"/>
    <w:rsid w:val="0022047A"/>
    <w:rsid w:val="00404C27"/>
    <w:rsid w:val="00410C6F"/>
    <w:rsid w:val="00414DB5"/>
    <w:rsid w:val="00461A0F"/>
    <w:rsid w:val="005039A8"/>
    <w:rsid w:val="005659AE"/>
    <w:rsid w:val="005677AE"/>
    <w:rsid w:val="00597775"/>
    <w:rsid w:val="00673C1A"/>
    <w:rsid w:val="008270A6"/>
    <w:rsid w:val="00874E9E"/>
    <w:rsid w:val="008B7A2F"/>
    <w:rsid w:val="008C7C8E"/>
    <w:rsid w:val="00925E51"/>
    <w:rsid w:val="00A46404"/>
    <w:rsid w:val="00A52921"/>
    <w:rsid w:val="00A751BC"/>
    <w:rsid w:val="00BE31F3"/>
    <w:rsid w:val="00C0756B"/>
    <w:rsid w:val="00CC015E"/>
    <w:rsid w:val="00D27C58"/>
    <w:rsid w:val="00DD1D7B"/>
    <w:rsid w:val="00E47562"/>
    <w:rsid w:val="00FA55B4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3D9F86-E8C7-4206-94A2-964F6663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paragraph" w:styleId="1">
    <w:name w:val="heading 1"/>
    <w:basedOn w:val="a"/>
    <w:next w:val="a"/>
    <w:link w:val="10"/>
    <w:uiPriority w:val="99"/>
    <w:qFormat/>
    <w:rsid w:val="000E1B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1B0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0E1B00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0E1B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0E1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0E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10341" TargetMode="External"/><Relationship Id="rId13" Type="http://schemas.openxmlformats.org/officeDocument/2006/relationships/hyperlink" Target="http://internet.garant.ru/document/redirect/12132859/10481" TargetMode="External"/><Relationship Id="rId18" Type="http://schemas.openxmlformats.org/officeDocument/2006/relationships/hyperlink" Target="http://internet.garant.ru/document/redirect/12132859/1036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2132859/10413" TargetMode="External"/><Relationship Id="rId12" Type="http://schemas.openxmlformats.org/officeDocument/2006/relationships/hyperlink" Target="http://internet.garant.ru/document/redirect/12132859/461" TargetMode="External"/><Relationship Id="rId17" Type="http://schemas.openxmlformats.org/officeDocument/2006/relationships/hyperlink" Target="http://internet.garant.ru/document/redirect/12132859/10586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2859/10581" TargetMode="External"/><Relationship Id="rId20" Type="http://schemas.openxmlformats.org/officeDocument/2006/relationships/hyperlink" Target="http://internet.garant.ru/document/redirect/12132859/10361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internet.garant.ru/document/redirect/12132859/10431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internet.garant.ru/document/redirect/12132859/10511" TargetMode="External"/><Relationship Id="rId10" Type="http://schemas.openxmlformats.org/officeDocument/2006/relationships/hyperlink" Target="http://internet.garant.ru/document/redirect/12132859/104" TargetMode="External"/><Relationship Id="rId19" Type="http://schemas.openxmlformats.org/officeDocument/2006/relationships/hyperlink" Target="http://internet.garant.ru/document/redirect/12132859/103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2859/104115" TargetMode="External"/><Relationship Id="rId14" Type="http://schemas.openxmlformats.org/officeDocument/2006/relationships/hyperlink" Target="http://internet.garant.ru/document/redirect/12132859/103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2019-01-28T01:28:00Z</cp:lastPrinted>
  <dcterms:created xsi:type="dcterms:W3CDTF">2019-01-25T06:29:00Z</dcterms:created>
  <dcterms:modified xsi:type="dcterms:W3CDTF">2022-02-16T01:02:00Z</dcterms:modified>
</cp:coreProperties>
</file>