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1F7CFD">
        <w:rPr>
          <w:b/>
          <w:bCs/>
          <w:sz w:val="28"/>
          <w:szCs w:val="28"/>
          <w:lang w:val="en-US"/>
        </w:rPr>
        <w:t>XIX</w:t>
      </w:r>
      <w:r w:rsidR="001F7CFD" w:rsidRPr="00BD280F">
        <w:rPr>
          <w:b/>
          <w:bCs/>
          <w:sz w:val="28"/>
          <w:szCs w:val="28"/>
        </w:rPr>
        <w:t xml:space="preserve"> </w:t>
      </w:r>
      <w:r w:rsidR="003201C6">
        <w:rPr>
          <w:b/>
          <w:bCs/>
          <w:sz w:val="28"/>
          <w:szCs w:val="28"/>
        </w:rPr>
        <w:t>сессия</w:t>
      </w:r>
    </w:p>
    <w:p w:rsidR="00C145E2" w:rsidRPr="007F0BFA" w:rsidRDefault="003B26C5" w:rsidP="00C145E2">
      <w:pPr>
        <w:jc w:val="center"/>
        <w:rPr>
          <w:b/>
          <w:bCs/>
          <w:sz w:val="28"/>
          <w:szCs w:val="28"/>
        </w:rPr>
      </w:pPr>
      <w:r w:rsidRPr="003B26C5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3B26C5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7C2292" w:rsidRDefault="007C2292" w:rsidP="00C145E2">
      <w:pPr>
        <w:spacing w:line="264" w:lineRule="auto"/>
        <w:jc w:val="center"/>
        <w:rPr>
          <w:b/>
          <w:bCs/>
          <w:sz w:val="26"/>
          <w:szCs w:val="26"/>
        </w:rPr>
      </w:pPr>
    </w:p>
    <w:p w:rsidR="007C2292" w:rsidRPr="00E35146" w:rsidRDefault="002D7275" w:rsidP="00E35146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256170">
        <w:rPr>
          <w:b/>
          <w:bCs/>
          <w:sz w:val="26"/>
          <w:szCs w:val="26"/>
        </w:rPr>
        <w:t xml:space="preserve"> </w:t>
      </w:r>
    </w:p>
    <w:p w:rsidR="001B2009" w:rsidRPr="00713500" w:rsidRDefault="00E35146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</w:t>
      </w:r>
      <w:r w:rsidR="001F7CFD">
        <w:rPr>
          <w:b/>
          <w:bCs/>
          <w:sz w:val="28"/>
          <w:szCs w:val="28"/>
        </w:rPr>
        <w:t>27 апреля</w:t>
      </w:r>
      <w:r w:rsidR="0075665C">
        <w:rPr>
          <w:b/>
          <w:bCs/>
          <w:sz w:val="28"/>
          <w:szCs w:val="28"/>
        </w:rPr>
        <w:t xml:space="preserve"> 20</w:t>
      </w:r>
      <w:r w:rsidR="001F7CFD">
        <w:rPr>
          <w:b/>
          <w:bCs/>
          <w:sz w:val="28"/>
          <w:szCs w:val="28"/>
        </w:rPr>
        <w:t>2</w:t>
      </w:r>
      <w:r w:rsidR="001F7CFD" w:rsidRPr="00BD280F">
        <w:rPr>
          <w:b/>
          <w:bCs/>
          <w:sz w:val="28"/>
          <w:szCs w:val="28"/>
        </w:rPr>
        <w:t>1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BD280F">
        <w:rPr>
          <w:b/>
          <w:bCs/>
          <w:sz w:val="28"/>
          <w:szCs w:val="28"/>
        </w:rPr>
        <w:t xml:space="preserve">                        </w:t>
      </w:r>
      <w:r w:rsidR="001B2009" w:rsidRPr="002E5927">
        <w:rPr>
          <w:b/>
          <w:bCs/>
          <w:sz w:val="28"/>
          <w:szCs w:val="28"/>
        </w:rPr>
        <w:t xml:space="preserve"> </w:t>
      </w:r>
      <w:r w:rsidR="001B2009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106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Об использовании средств  резервного</w:t>
      </w:r>
      <w:r w:rsidR="00BD280F">
        <w:rPr>
          <w:b/>
          <w:sz w:val="28"/>
          <w:szCs w:val="28"/>
        </w:rPr>
        <w:t xml:space="preserve"> </w:t>
      </w:r>
      <w:r w:rsidRPr="00F55A89">
        <w:rPr>
          <w:b/>
          <w:sz w:val="28"/>
          <w:szCs w:val="28"/>
        </w:rPr>
        <w:t xml:space="preserve">фонда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администрации  муниципального образования </w:t>
      </w:r>
    </w:p>
    <w:p w:rsidR="00256170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городского  поселения «поселок Нижнеангарск» за 20</w:t>
      </w:r>
      <w:r w:rsidR="001F7C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D280F" w:rsidRDefault="00BD280F" w:rsidP="00256170">
      <w:pPr>
        <w:tabs>
          <w:tab w:val="left" w:pos="187"/>
        </w:tabs>
        <w:rPr>
          <w:b/>
          <w:sz w:val="28"/>
          <w:szCs w:val="28"/>
        </w:rPr>
      </w:pPr>
    </w:p>
    <w:p w:rsidR="00BD280F" w:rsidRDefault="00E35146" w:rsidP="00BD280F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D280F">
        <w:rPr>
          <w:b/>
          <w:sz w:val="28"/>
          <w:szCs w:val="28"/>
        </w:rPr>
        <w:tab/>
      </w:r>
      <w:r w:rsidR="00BD280F">
        <w:rPr>
          <w:sz w:val="28"/>
          <w:szCs w:val="28"/>
        </w:rPr>
        <w:t xml:space="preserve">Заслушав отчет специалиста 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Зуевой Е.Н. «Об использовании средств резервного фонда</w:t>
      </w:r>
      <w:r w:rsidR="00BD280F" w:rsidRPr="00A10A47">
        <w:rPr>
          <w:sz w:val="28"/>
          <w:szCs w:val="28"/>
        </w:rPr>
        <w:t xml:space="preserve"> </w:t>
      </w:r>
      <w:r w:rsidR="00BD280F">
        <w:rPr>
          <w:sz w:val="28"/>
          <w:szCs w:val="28"/>
        </w:rPr>
        <w:t xml:space="preserve">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за 2020</w:t>
      </w:r>
      <w:r w:rsidR="00BD280F" w:rsidRPr="00A10A47">
        <w:rPr>
          <w:sz w:val="28"/>
          <w:szCs w:val="28"/>
        </w:rPr>
        <w:t xml:space="preserve"> год</w:t>
      </w:r>
      <w:r w:rsidR="00BD280F">
        <w:rPr>
          <w:sz w:val="28"/>
          <w:szCs w:val="28"/>
        </w:rPr>
        <w:t xml:space="preserve">», Совет депутатов </w:t>
      </w:r>
      <w:r w:rsidR="00BD280F" w:rsidRPr="00A10A47">
        <w:rPr>
          <w:sz w:val="28"/>
          <w:szCs w:val="28"/>
        </w:rPr>
        <w:t>муниципального образования городско</w:t>
      </w:r>
      <w:r w:rsidR="00BD280F">
        <w:rPr>
          <w:sz w:val="28"/>
          <w:szCs w:val="28"/>
        </w:rPr>
        <w:t>го  поселения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четвертого созыва </w:t>
      </w:r>
      <w:r w:rsidR="00BD280F" w:rsidRPr="00F55A89">
        <w:rPr>
          <w:b/>
          <w:sz w:val="28"/>
          <w:szCs w:val="28"/>
        </w:rPr>
        <w:t>решил:</w:t>
      </w:r>
    </w:p>
    <w:p w:rsidR="00BD280F" w:rsidRPr="00A10A47" w:rsidRDefault="00E35146" w:rsidP="00E351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280F">
        <w:rPr>
          <w:sz w:val="28"/>
          <w:szCs w:val="28"/>
        </w:rPr>
        <w:tab/>
        <w:t xml:space="preserve">1.Утвердить отчет о расходовании средств резервного фонда за 2020 год на сумму 184 461,79 </w:t>
      </w:r>
      <w:r w:rsidR="00BD280F" w:rsidRPr="00B54655">
        <w:rPr>
          <w:sz w:val="28"/>
          <w:szCs w:val="28"/>
        </w:rPr>
        <w:t>руб</w:t>
      </w:r>
      <w:r w:rsidR="00BD280F" w:rsidRPr="00C8661D">
        <w:rPr>
          <w:sz w:val="28"/>
          <w:szCs w:val="28"/>
        </w:rPr>
        <w:t>., в том числе:</w:t>
      </w:r>
    </w:p>
    <w:tbl>
      <w:tblPr>
        <w:tblStyle w:val="ad"/>
        <w:tblW w:w="10113" w:type="dxa"/>
        <w:tblInd w:w="60" w:type="dxa"/>
        <w:tblLook w:val="04A0"/>
      </w:tblPr>
      <w:tblGrid>
        <w:gridCol w:w="5435"/>
        <w:gridCol w:w="1701"/>
        <w:gridCol w:w="1559"/>
        <w:gridCol w:w="1418"/>
      </w:tblGrid>
      <w:tr w:rsidR="00BD280F" w:rsidRPr="00EC114F" w:rsidTr="00267F67">
        <w:trPr>
          <w:trHeight w:val="525"/>
        </w:trPr>
        <w:tc>
          <w:tcPr>
            <w:tcW w:w="5435" w:type="dxa"/>
            <w:vMerge w:val="restart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Наименование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Всего: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В том числе:</w:t>
            </w:r>
          </w:p>
        </w:tc>
      </w:tr>
      <w:tr w:rsidR="00BD280F" w:rsidRPr="00EC114F" w:rsidTr="00267F67">
        <w:trPr>
          <w:trHeight w:val="435"/>
        </w:trPr>
        <w:tc>
          <w:tcPr>
            <w:tcW w:w="5435" w:type="dxa"/>
            <w:vMerge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280F" w:rsidRPr="00EC114F" w:rsidRDefault="00BD280F" w:rsidP="00267F67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280F" w:rsidRPr="00EC114F" w:rsidRDefault="00BD280F" w:rsidP="00267F67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2 полугодие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 xml:space="preserve">Проведение работ по откачке ЖБО в пределах жилой зоны микрорайона «улица Брусничная» на территории МО ГП «поселок Нижнеангарск»  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24 000,00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24 000,00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-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>Организация праздничных гуляний «Масленица» (покупка призов)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4 600,00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4 600,00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>Организация и проведение массового спортивного мероприятия «Лыжня России – 2020»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2 312,00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2 312,00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>Организация мероприятий, посвященных 75-ой годовщине победы в ВОВ.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9 483,00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9 483,00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>Проведение дезинфекционных мероприятий в многоквартирных домах, а также на остановочных площадках и павильонах.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7 825,00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7 825,00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98363B">
              <w:t xml:space="preserve">Проведение работ по откачке ЖБО в пределах жилой зоны микрорайона «улица Брусничная» на территории МО ГП «поселок Нижнеангарск»  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7 200,00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7 200,00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>
              <w:t>Подотчет Чистякова Ю.А. на проведение конкурса «Творим в содружестве сердец»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5 541,79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5 541,79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t>Подотчет Чумак Е.А. на  поздравление пенсионеров, в связи с празднованием дня пожилого человека.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5 000,00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r w:rsidRPr="00EC114F">
              <w:lastRenderedPageBreak/>
              <w:t>Работы по предотвращению чрезвычайной ситуации, возникшей в результате галечного намыва в устье реки Сырой Молокон.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58 500,00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58 500,00</w:t>
            </w:r>
          </w:p>
        </w:tc>
      </w:tr>
      <w:tr w:rsidR="00BD280F" w:rsidRPr="00EC114F" w:rsidTr="00267F67">
        <w:tc>
          <w:tcPr>
            <w:tcW w:w="5435" w:type="dxa"/>
            <w:vAlign w:val="center"/>
          </w:tcPr>
          <w:p w:rsidR="00BD280F" w:rsidRPr="00EC114F" w:rsidRDefault="00BD280F" w:rsidP="00267F67">
            <w:pPr>
              <w:ind w:right="-1"/>
              <w:jc w:val="both"/>
              <w:rPr>
                <w:sz w:val="26"/>
                <w:szCs w:val="26"/>
              </w:rPr>
            </w:pPr>
            <w:r w:rsidRPr="00EC114F">
              <w:t xml:space="preserve">Подготовка и проведение новогодних культурно-массовых мероприятий. 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D280F" w:rsidRPr="00EC114F" w:rsidRDefault="00BD280F" w:rsidP="00267F67">
            <w:pPr>
              <w:jc w:val="center"/>
            </w:pPr>
            <w:r w:rsidRPr="00EC114F">
              <w:t>60 000,00</w:t>
            </w:r>
          </w:p>
        </w:tc>
      </w:tr>
      <w:tr w:rsidR="00BD280F" w:rsidRPr="00B64EC9" w:rsidTr="00267F67">
        <w:tc>
          <w:tcPr>
            <w:tcW w:w="5435" w:type="dxa"/>
            <w:vAlign w:val="center"/>
          </w:tcPr>
          <w:p w:rsidR="00BD280F" w:rsidRPr="00EC114F" w:rsidRDefault="00BD280F" w:rsidP="00267F67">
            <w:pPr>
              <w:ind w:right="-1"/>
              <w:jc w:val="both"/>
              <w:rPr>
                <w:sz w:val="26"/>
                <w:szCs w:val="26"/>
              </w:rPr>
            </w:pPr>
            <w:r w:rsidRPr="00B64EC9">
              <w:t>Итого:</w:t>
            </w:r>
          </w:p>
        </w:tc>
        <w:tc>
          <w:tcPr>
            <w:tcW w:w="1701" w:type="dxa"/>
            <w:vAlign w:val="center"/>
          </w:tcPr>
          <w:p w:rsidR="00BD280F" w:rsidRPr="00EC114F" w:rsidRDefault="00BD280F" w:rsidP="00267F67">
            <w:pPr>
              <w:jc w:val="center"/>
            </w:pPr>
            <w:r>
              <w:t>184 461,79</w:t>
            </w:r>
          </w:p>
        </w:tc>
        <w:tc>
          <w:tcPr>
            <w:tcW w:w="1559" w:type="dxa"/>
            <w:vAlign w:val="center"/>
          </w:tcPr>
          <w:p w:rsidR="00BD280F" w:rsidRPr="00EC114F" w:rsidRDefault="00BD280F" w:rsidP="00267F6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280F" w:rsidRPr="00B64EC9" w:rsidRDefault="00BD280F" w:rsidP="00267F67">
            <w:pPr>
              <w:jc w:val="center"/>
            </w:pPr>
          </w:p>
        </w:tc>
      </w:tr>
    </w:tbl>
    <w:p w:rsid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6170" w:rsidRP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6170" w:rsidRPr="00965BBE">
        <w:rPr>
          <w:sz w:val="28"/>
          <w:szCs w:val="28"/>
        </w:rPr>
        <w:t>2</w:t>
      </w:r>
      <w:r w:rsidR="00256170" w:rsidRPr="00097CF7">
        <w:rPr>
          <w:sz w:val="28"/>
          <w:szCs w:val="28"/>
        </w:rPr>
        <w:t>.</w:t>
      </w:r>
      <w:r w:rsidR="00256170" w:rsidRPr="00097CF7">
        <w:rPr>
          <w:color w:val="000000"/>
          <w:sz w:val="28"/>
          <w:szCs w:val="28"/>
        </w:rPr>
        <w:t xml:space="preserve"> </w:t>
      </w:r>
      <w:r w:rsidR="00256170">
        <w:rPr>
          <w:color w:val="000000"/>
          <w:sz w:val="28"/>
          <w:szCs w:val="28"/>
        </w:rPr>
        <w:t xml:space="preserve">  </w:t>
      </w:r>
      <w:r w:rsidR="00256170" w:rsidRPr="00097CF7">
        <w:rPr>
          <w:color w:val="000000"/>
          <w:sz w:val="28"/>
          <w:szCs w:val="28"/>
        </w:rPr>
        <w:t>Настоящее решение подлежит официальному обнародованию.</w:t>
      </w:r>
    </w:p>
    <w:p w:rsidR="00256170" w:rsidRPr="00097CF7" w:rsidRDefault="00256170" w:rsidP="0025617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097CF7">
        <w:rPr>
          <w:color w:val="000000"/>
          <w:sz w:val="28"/>
          <w:szCs w:val="28"/>
        </w:rPr>
        <w:t>.</w:t>
      </w:r>
      <w:r w:rsidRPr="00256170">
        <w:rPr>
          <w:sz w:val="26"/>
          <w:szCs w:val="26"/>
        </w:rPr>
        <w:t xml:space="preserve"> </w:t>
      </w:r>
      <w:proofErr w:type="gramStart"/>
      <w:r w:rsidRPr="0075665C">
        <w:rPr>
          <w:sz w:val="26"/>
          <w:szCs w:val="26"/>
        </w:rPr>
        <w:t>Контроль за</w:t>
      </w:r>
      <w:proofErr w:type="gramEnd"/>
      <w:r w:rsidRPr="0075665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Pr="0075665C">
        <w:rPr>
          <w:color w:val="000000"/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3D50" w:rsidRDefault="002F3D50" w:rsidP="00256170">
      <w:pPr>
        <w:tabs>
          <w:tab w:val="left" w:pos="187"/>
        </w:tabs>
        <w:jc w:val="both"/>
        <w:rPr>
          <w:b/>
          <w:sz w:val="26"/>
          <w:szCs w:val="26"/>
        </w:rPr>
      </w:pPr>
    </w:p>
    <w:p w:rsidR="0075665C" w:rsidRPr="0075665C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5665C" w:rsidTr="00CD0310">
        <w:tc>
          <w:tcPr>
            <w:tcW w:w="4643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</w:t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75665C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75665C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F3D50" w:rsidRDefault="002F3D50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CD0310" w:rsidRDefault="00CD0310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sectPr w:rsidR="00E35146" w:rsidSect="00E351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73" w:rsidRDefault="00467473" w:rsidP="007B703B">
      <w:r>
        <w:separator/>
      </w:r>
    </w:p>
  </w:endnote>
  <w:endnote w:type="continuationSeparator" w:id="0">
    <w:p w:rsidR="00467473" w:rsidRDefault="00467473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73" w:rsidRDefault="00467473" w:rsidP="007B703B">
      <w:r>
        <w:separator/>
      </w:r>
    </w:p>
  </w:footnote>
  <w:footnote w:type="continuationSeparator" w:id="0">
    <w:p w:rsidR="00467473" w:rsidRDefault="00467473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1B1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5976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3C2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1F7CFD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CF8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170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79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6C5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5BB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473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E0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16B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77F52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2F2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92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44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48F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80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AE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146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9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256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50</cp:revision>
  <cp:lastPrinted>2021-04-29T02:20:00Z</cp:lastPrinted>
  <dcterms:created xsi:type="dcterms:W3CDTF">2019-01-30T23:51:00Z</dcterms:created>
  <dcterms:modified xsi:type="dcterms:W3CDTF">2021-04-29T02:22:00Z</dcterms:modified>
</cp:coreProperties>
</file>